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W w:w="8336" w:type="dxa"/>
        <w:tblInd w:w="0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  <w:insideH w:val="none" w:color="auto" w:sz="0" w:space="0"/>
          <w:insideV w:val="none" w:color="auto" w:sz="0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8336"/>
      </w:tblGrid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83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28"/>
                <w:szCs w:val="28"/>
              </w:rPr>
              <w:t>贵州大学</w:t>
            </w:r>
            <w:r>
              <w:rPr>
                <w:rFonts w:ascii="黑体" w:hAnsi="黑体" w:eastAsia="黑体" w:cs="宋体"/>
                <w:b/>
                <w:bCs/>
                <w:kern w:val="0"/>
                <w:sz w:val="28"/>
                <w:szCs w:val="28"/>
              </w:rPr>
              <w:t>硕士研究生入学考试大纲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83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ascii="仿宋" w:hAnsi="仿宋" w:eastAsia="仿宋" w:cs="宋体"/>
                <w:kern w:val="0"/>
                <w:sz w:val="24"/>
                <w:szCs w:val="24"/>
              </w:rPr>
              <w:t>考试科目代码及名称：</w:t>
            </w:r>
            <w:r>
              <w:rPr>
                <w:rFonts w:hint="eastAsia" w:ascii="仿宋" w:hAnsi="仿宋" w:eastAsia="仿宋" w:cs="宋体"/>
                <w:kern w:val="0"/>
                <w:sz w:val="24"/>
                <w:szCs w:val="24"/>
                <w:u w:val="single"/>
              </w:rPr>
              <w:t>856植物营养学</w:t>
            </w:r>
            <w:r>
              <w:rPr>
                <w:rFonts w:ascii="仿宋" w:hAnsi="仿宋" w:eastAsia="仿宋" w:cs="宋体"/>
                <w:kern w:val="0"/>
                <w:sz w:val="24"/>
                <w:szCs w:val="24"/>
                <w:u w:val="single"/>
              </w:rPr>
              <w:t xml:space="preserve">   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833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ascii="仿宋" w:hAnsi="仿宋" w:eastAsia="仿宋" w:cs="宋体"/>
                <w:b/>
                <w:kern w:val="0"/>
                <w:sz w:val="24"/>
                <w:szCs w:val="24"/>
              </w:rPr>
              <w:t xml:space="preserve">一、考试基本要求 </w:t>
            </w:r>
            <w:r>
              <w:rPr>
                <w:rFonts w:ascii="仿宋" w:hAnsi="仿宋" w:eastAsia="仿宋" w:cs="宋体"/>
                <w:kern w:val="0"/>
                <w:sz w:val="24"/>
                <w:szCs w:val="24"/>
              </w:rPr>
              <w:t xml:space="preserve"> </w:t>
            </w:r>
          </w:p>
          <w:p>
            <w:pPr>
              <w:widowControl/>
              <w:ind w:firstLine="480" w:firstLineChars="200"/>
              <w:jc w:val="left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ascii="仿宋" w:hAnsi="仿宋" w:eastAsia="仿宋" w:cs="宋体"/>
                <w:kern w:val="0"/>
                <w:sz w:val="24"/>
                <w:szCs w:val="24"/>
              </w:rPr>
              <w:t>本科目考试着重考核考生掌握</w:t>
            </w: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植物营养学</w:t>
            </w:r>
            <w:r>
              <w:rPr>
                <w:rFonts w:ascii="仿宋" w:hAnsi="仿宋" w:eastAsia="仿宋" w:cs="宋体"/>
                <w:kern w:val="0"/>
                <w:sz w:val="24"/>
                <w:szCs w:val="24"/>
              </w:rPr>
              <w:t>基本概念、基本思想、基本分析方法和基本理论的程度，要求考生对</w:t>
            </w: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植物营养学</w:t>
            </w:r>
            <w:r>
              <w:rPr>
                <w:rFonts w:ascii="仿宋" w:hAnsi="仿宋" w:eastAsia="仿宋" w:cs="宋体"/>
                <w:kern w:val="0"/>
                <w:sz w:val="24"/>
                <w:szCs w:val="24"/>
              </w:rPr>
              <w:t>理论体系的基本框架有一个比较全面的了解，并能</w:t>
            </w: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综合运用所学知识分析和解决实际生产问题</w:t>
            </w:r>
            <w:r>
              <w:rPr>
                <w:rFonts w:ascii="仿宋" w:hAnsi="仿宋" w:eastAsia="仿宋" w:cs="宋体"/>
                <w:kern w:val="0"/>
                <w:sz w:val="24"/>
                <w:szCs w:val="24"/>
              </w:rPr>
              <w:t>。</w:t>
            </w:r>
          </w:p>
          <w:p>
            <w:pPr>
              <w:widowControl/>
              <w:jc w:val="left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</w:p>
          <w:p>
            <w:pPr>
              <w:widowControl/>
              <w:jc w:val="left"/>
              <w:rPr>
                <w:rFonts w:ascii="仿宋" w:hAnsi="仿宋" w:eastAsia="仿宋" w:cs="宋体"/>
                <w:b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b/>
                <w:kern w:val="0"/>
                <w:sz w:val="24"/>
                <w:szCs w:val="24"/>
              </w:rPr>
              <w:t>二</w:t>
            </w:r>
            <w:r>
              <w:rPr>
                <w:rFonts w:ascii="仿宋" w:hAnsi="仿宋" w:eastAsia="仿宋" w:cs="宋体"/>
                <w:b/>
                <w:kern w:val="0"/>
                <w:sz w:val="24"/>
                <w:szCs w:val="24"/>
              </w:rPr>
              <w:t>、考试形式</w:t>
            </w:r>
          </w:p>
          <w:p>
            <w:pPr>
              <w:widowControl/>
              <w:jc w:val="left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ascii="仿宋" w:hAnsi="仿宋" w:eastAsia="仿宋" w:cs="宋体"/>
                <w:kern w:val="0"/>
                <w:sz w:val="24"/>
                <w:szCs w:val="24"/>
              </w:rPr>
              <w:t xml:space="preserve">     </w:t>
            </w: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闭卷</w:t>
            </w:r>
            <w:r>
              <w:rPr>
                <w:rFonts w:ascii="仿宋" w:hAnsi="仿宋" w:eastAsia="仿宋" w:cs="宋体"/>
                <w:kern w:val="0"/>
                <w:sz w:val="24"/>
                <w:szCs w:val="24"/>
              </w:rPr>
              <w:t>，</w:t>
            </w: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180分钟</w:t>
            </w:r>
          </w:p>
          <w:p>
            <w:pPr>
              <w:widowControl/>
              <w:jc w:val="left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</w:p>
          <w:p>
            <w:pPr>
              <w:widowControl/>
              <w:jc w:val="left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b/>
                <w:kern w:val="0"/>
                <w:sz w:val="24"/>
                <w:szCs w:val="24"/>
                <w:lang w:eastAsia="zh-CN"/>
              </w:rPr>
              <w:t>三</w:t>
            </w:r>
            <w:bookmarkStart w:id="0" w:name="_GoBack"/>
            <w:bookmarkEnd w:id="0"/>
            <w:r>
              <w:rPr>
                <w:rFonts w:ascii="仿宋" w:hAnsi="仿宋" w:eastAsia="仿宋" w:cs="宋体"/>
                <w:b/>
                <w:kern w:val="0"/>
                <w:sz w:val="24"/>
                <w:szCs w:val="24"/>
              </w:rPr>
              <w:t xml:space="preserve">、考试内容和考试要求 </w:t>
            </w:r>
          </w:p>
          <w:p>
            <w:pPr>
              <w:widowControl/>
              <w:jc w:val="left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ascii="仿宋" w:hAnsi="仿宋" w:eastAsia="仿宋" w:cs="宋体"/>
                <w:kern w:val="0"/>
                <w:sz w:val="24"/>
                <w:szCs w:val="24"/>
              </w:rPr>
              <w:t xml:space="preserve">1．导言　 </w:t>
            </w:r>
          </w:p>
          <w:p>
            <w:pPr>
              <w:widowControl/>
              <w:numPr>
                <w:ilvl w:val="0"/>
                <w:numId w:val="1"/>
              </w:numPr>
              <w:ind w:left="709"/>
              <w:jc w:val="left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了解植物营养学的内涵、地位、作用和发展</w:t>
            </w:r>
          </w:p>
          <w:p>
            <w:pPr>
              <w:widowControl/>
              <w:numPr>
                <w:ilvl w:val="0"/>
                <w:numId w:val="1"/>
              </w:numPr>
              <w:ind w:left="709"/>
              <w:jc w:val="left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了解植物营养学的研究范畴和研究方法</w:t>
            </w:r>
          </w:p>
          <w:p>
            <w:pPr>
              <w:widowControl/>
              <w:numPr>
                <w:ilvl w:val="0"/>
                <w:numId w:val="1"/>
              </w:numPr>
              <w:ind w:left="709"/>
              <w:jc w:val="left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掌握植物矿质营养学说、归还学说和最小养分率等基本概念，辩证认识李必希的贡献和认识不足</w:t>
            </w:r>
            <w:r>
              <w:rPr>
                <w:rFonts w:ascii="仿宋" w:hAnsi="仿宋" w:eastAsia="仿宋" w:cs="宋体"/>
                <w:kern w:val="0"/>
                <w:sz w:val="24"/>
                <w:szCs w:val="24"/>
              </w:rPr>
              <w:t xml:space="preserve"> </w:t>
            </w:r>
          </w:p>
          <w:p>
            <w:pPr>
              <w:widowControl/>
              <w:ind w:left="709"/>
              <w:jc w:val="left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</w:p>
          <w:p>
            <w:pPr>
              <w:widowControl/>
              <w:jc w:val="left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ascii="仿宋" w:hAnsi="仿宋" w:eastAsia="仿宋" w:cs="宋体"/>
                <w:kern w:val="0"/>
                <w:sz w:val="24"/>
                <w:szCs w:val="24"/>
              </w:rPr>
              <w:t>2．</w:t>
            </w: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营养元素</w:t>
            </w:r>
          </w:p>
          <w:p>
            <w:pPr>
              <w:widowControl/>
              <w:numPr>
                <w:ilvl w:val="0"/>
                <w:numId w:val="2"/>
              </w:numPr>
              <w:ind w:left="709"/>
              <w:jc w:val="left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理解并掌握植物必需营养元素、大量元素、中量元素和微量元素的概念及确定必需营养元素的标准</w:t>
            </w:r>
          </w:p>
          <w:p>
            <w:pPr>
              <w:widowControl/>
              <w:numPr>
                <w:ilvl w:val="0"/>
                <w:numId w:val="2"/>
              </w:numPr>
              <w:ind w:left="709"/>
              <w:jc w:val="left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了解必需营养元素的分组及一般营养功能</w:t>
            </w:r>
          </w:p>
          <w:p>
            <w:pPr>
              <w:widowControl/>
              <w:numPr>
                <w:ilvl w:val="0"/>
                <w:numId w:val="2"/>
              </w:numPr>
              <w:ind w:left="709"/>
              <w:jc w:val="left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了解碳、氢、氧的营养功能</w:t>
            </w:r>
          </w:p>
          <w:p>
            <w:pPr>
              <w:widowControl/>
              <w:numPr>
                <w:ilvl w:val="0"/>
                <w:numId w:val="2"/>
              </w:numPr>
              <w:ind w:left="709"/>
              <w:jc w:val="left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理解并掌握植物有益营养元素的概念，各种有益元素的含量与分布、营养功能、吸收运输及利用，能够识别有益营养元素亏缺和过量的症状。</w:t>
            </w:r>
          </w:p>
          <w:p>
            <w:pPr>
              <w:widowControl/>
              <w:jc w:val="left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</w:p>
          <w:p>
            <w:pPr>
              <w:widowControl/>
              <w:jc w:val="left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ascii="仿宋" w:hAnsi="仿宋" w:eastAsia="仿宋" w:cs="宋体"/>
                <w:kern w:val="0"/>
                <w:sz w:val="24"/>
                <w:szCs w:val="24"/>
              </w:rPr>
              <w:t>3．</w:t>
            </w: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土壤养分的生物有效性</w:t>
            </w:r>
          </w:p>
          <w:p>
            <w:pPr>
              <w:widowControl/>
              <w:numPr>
                <w:ilvl w:val="0"/>
                <w:numId w:val="3"/>
              </w:numPr>
              <w:ind w:left="709"/>
              <w:jc w:val="left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理解并掌握土壤养分生物有效性、养分强度因素、养分容量因素及缓冲容量的含义。</w:t>
            </w:r>
          </w:p>
          <w:p>
            <w:pPr>
              <w:widowControl/>
              <w:numPr>
                <w:ilvl w:val="0"/>
                <w:numId w:val="3"/>
              </w:numPr>
              <w:ind w:left="709"/>
              <w:jc w:val="left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掌握土壤养分迁移方式、其对供应养分的贡献及养分移动性的影响因素。</w:t>
            </w:r>
          </w:p>
          <w:p>
            <w:pPr>
              <w:widowControl/>
              <w:numPr>
                <w:ilvl w:val="0"/>
                <w:numId w:val="3"/>
              </w:numPr>
              <w:ind w:left="709"/>
              <w:jc w:val="left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理解植物根系生长特性与养分有效性之间的关系。</w:t>
            </w:r>
          </w:p>
          <w:p>
            <w:pPr>
              <w:widowControl/>
              <w:numPr>
                <w:ilvl w:val="0"/>
                <w:numId w:val="3"/>
              </w:numPr>
              <w:ind w:left="709"/>
              <w:jc w:val="left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掌握根际概念及其特性，根系分泌物的概念及其对土壤养分有效性的影响，根际微生物及其对土壤养分有效性的影响。</w:t>
            </w:r>
          </w:p>
          <w:p>
            <w:pPr>
              <w:widowControl/>
              <w:jc w:val="left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</w:p>
          <w:p>
            <w:pPr>
              <w:widowControl/>
              <w:jc w:val="left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4.养分的吸收、运输和分配</w:t>
            </w:r>
          </w:p>
          <w:p>
            <w:pPr>
              <w:widowControl/>
              <w:numPr>
                <w:ilvl w:val="0"/>
                <w:numId w:val="4"/>
              </w:numPr>
              <w:ind w:left="709"/>
              <w:jc w:val="left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理解并掌握植物吸收养分的机理与影响因素。</w:t>
            </w:r>
          </w:p>
          <w:p>
            <w:pPr>
              <w:widowControl/>
              <w:numPr>
                <w:ilvl w:val="0"/>
                <w:numId w:val="4"/>
              </w:numPr>
              <w:ind w:left="709"/>
              <w:jc w:val="left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理解并掌握植物根外营养的概念、特性及影响因素。</w:t>
            </w:r>
          </w:p>
          <w:p>
            <w:pPr>
              <w:widowControl/>
              <w:numPr>
                <w:ilvl w:val="0"/>
                <w:numId w:val="4"/>
              </w:numPr>
              <w:ind w:left="709"/>
              <w:jc w:val="left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理解并掌握养分短距离运输的概念、途径，理解其影响因素。</w:t>
            </w:r>
          </w:p>
          <w:p>
            <w:pPr>
              <w:widowControl/>
              <w:numPr>
                <w:ilvl w:val="0"/>
                <w:numId w:val="4"/>
              </w:numPr>
              <w:ind w:left="709"/>
              <w:jc w:val="left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理解并掌握养分长距离运输的概念、途径及各途径的特点。</w:t>
            </w:r>
          </w:p>
          <w:p>
            <w:pPr>
              <w:widowControl/>
              <w:ind w:left="709"/>
              <w:jc w:val="left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</w:p>
          <w:p>
            <w:pPr>
              <w:widowControl/>
              <w:numPr>
                <w:ilvl w:val="0"/>
                <w:numId w:val="4"/>
              </w:numPr>
              <w:ind w:left="709"/>
              <w:jc w:val="left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理解并掌握植物体内养分的循环和养分在植物体内的再利用。</w:t>
            </w:r>
          </w:p>
          <w:p>
            <w:pPr>
              <w:widowControl/>
              <w:jc w:val="left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</w:p>
          <w:p>
            <w:pPr>
              <w:widowControl/>
              <w:jc w:val="left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5.</w:t>
            </w:r>
            <w:r>
              <w:rPr>
                <w:rFonts w:hint="eastAsia" w:ascii="Times New Roman" w:hAnsi="Times New Roman" w:eastAsia="宋体" w:cs="Times New Roman"/>
                <w:szCs w:val="24"/>
              </w:rPr>
              <w:t xml:space="preserve"> </w:t>
            </w: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矿质营养与植物生长、产量和品质的关系</w:t>
            </w:r>
          </w:p>
          <w:p>
            <w:pPr>
              <w:widowControl/>
              <w:numPr>
                <w:ilvl w:val="0"/>
                <w:numId w:val="5"/>
              </w:numPr>
              <w:ind w:left="709"/>
              <w:jc w:val="left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了解植物生长发育与矿质养分供应状况之间的关系。</w:t>
            </w:r>
          </w:p>
          <w:p>
            <w:pPr>
              <w:widowControl/>
              <w:numPr>
                <w:ilvl w:val="0"/>
                <w:numId w:val="5"/>
              </w:numPr>
              <w:ind w:left="709"/>
              <w:jc w:val="left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理解植物库－源关系转化与产量之间的关系。</w:t>
            </w:r>
          </w:p>
          <w:p>
            <w:pPr>
              <w:widowControl/>
              <w:numPr>
                <w:ilvl w:val="0"/>
                <w:numId w:val="5"/>
              </w:numPr>
              <w:ind w:left="709"/>
              <w:jc w:val="left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理解并掌握矿质营养对植物库－源及其相互关系的影响。</w:t>
            </w:r>
          </w:p>
          <w:p>
            <w:pPr>
              <w:widowControl/>
              <w:numPr>
                <w:ilvl w:val="0"/>
                <w:numId w:val="5"/>
              </w:numPr>
              <w:ind w:left="709"/>
              <w:jc w:val="left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理解矿质营养与植物产品品质的关系。</w:t>
            </w:r>
          </w:p>
          <w:p>
            <w:pPr>
              <w:widowControl/>
              <w:jc w:val="left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</w:p>
          <w:p>
            <w:pPr>
              <w:widowControl/>
              <w:jc w:val="left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6.</w:t>
            </w:r>
            <w:r>
              <w:rPr>
                <w:rFonts w:hint="eastAsia" w:ascii="Times New Roman" w:hAnsi="Times New Roman" w:eastAsia="宋体" w:cs="Times New Roman"/>
                <w:szCs w:val="24"/>
              </w:rPr>
              <w:t xml:space="preserve"> </w:t>
            </w: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植物营养的遗传特性与改良</w:t>
            </w:r>
          </w:p>
          <w:p>
            <w:pPr>
              <w:widowControl/>
              <w:numPr>
                <w:ilvl w:val="0"/>
                <w:numId w:val="6"/>
              </w:numPr>
              <w:ind w:left="709"/>
              <w:jc w:val="left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掌握植物营养性状的相关概念。</w:t>
            </w:r>
          </w:p>
          <w:p>
            <w:pPr>
              <w:widowControl/>
              <w:numPr>
                <w:ilvl w:val="0"/>
                <w:numId w:val="6"/>
              </w:numPr>
              <w:ind w:left="709"/>
              <w:jc w:val="left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了解植物营养性状基因型差异的机理。</w:t>
            </w:r>
          </w:p>
          <w:p>
            <w:pPr>
              <w:widowControl/>
              <w:numPr>
                <w:ilvl w:val="0"/>
                <w:numId w:val="6"/>
              </w:numPr>
              <w:ind w:left="709"/>
              <w:jc w:val="left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了解植物营养性状的遗传学改良方法。</w:t>
            </w:r>
          </w:p>
          <w:p>
            <w:pPr>
              <w:widowControl/>
              <w:jc w:val="left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</w:p>
          <w:p>
            <w:pPr>
              <w:widowControl/>
              <w:jc w:val="left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7.</w:t>
            </w:r>
            <w:r>
              <w:rPr>
                <w:rFonts w:hint="eastAsia" w:ascii="Times New Roman" w:hAnsi="Times New Roman" w:eastAsia="宋体" w:cs="Times New Roman"/>
                <w:szCs w:val="24"/>
              </w:rPr>
              <w:t xml:space="preserve"> </w:t>
            </w: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植物对逆境土壤的适应性</w:t>
            </w:r>
          </w:p>
          <w:p>
            <w:pPr>
              <w:widowControl/>
              <w:numPr>
                <w:ilvl w:val="0"/>
                <w:numId w:val="7"/>
              </w:numPr>
              <w:ind w:left="709"/>
              <w:jc w:val="left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掌握逆境土壤的概念，了解其对植物生长的影响。</w:t>
            </w:r>
          </w:p>
          <w:p>
            <w:pPr>
              <w:widowControl/>
              <w:numPr>
                <w:ilvl w:val="0"/>
                <w:numId w:val="7"/>
              </w:numPr>
              <w:ind w:left="709"/>
              <w:jc w:val="left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掌握常见逆境土壤的主要障碍因子类型。</w:t>
            </w:r>
          </w:p>
          <w:p>
            <w:pPr>
              <w:widowControl/>
              <w:numPr>
                <w:ilvl w:val="0"/>
                <w:numId w:val="7"/>
              </w:numPr>
              <w:ind w:left="709"/>
              <w:jc w:val="left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了解植物对逆境土壤的适应机理。</w:t>
            </w:r>
          </w:p>
          <w:p>
            <w:pPr>
              <w:widowControl/>
              <w:jc w:val="left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</w:p>
          <w:p>
            <w:pPr>
              <w:widowControl/>
              <w:jc w:val="left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8.</w:t>
            </w:r>
            <w:r>
              <w:rPr>
                <w:rFonts w:hint="eastAsia" w:ascii="Times New Roman" w:hAnsi="Times New Roman" w:eastAsia="宋体" w:cs="Times New Roman"/>
                <w:szCs w:val="24"/>
              </w:rPr>
              <w:t xml:space="preserve"> </w:t>
            </w: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植物氮营养与氮肥</w:t>
            </w:r>
          </w:p>
          <w:p>
            <w:pPr>
              <w:widowControl/>
              <w:numPr>
                <w:ilvl w:val="0"/>
                <w:numId w:val="8"/>
              </w:numPr>
              <w:ind w:left="709"/>
              <w:jc w:val="left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理解并掌握植物体内氮的含量与分布、营养功能、吸收运输及利用。</w:t>
            </w:r>
          </w:p>
          <w:p>
            <w:pPr>
              <w:widowControl/>
              <w:numPr>
                <w:ilvl w:val="0"/>
                <w:numId w:val="8"/>
              </w:numPr>
              <w:ind w:left="709"/>
              <w:jc w:val="left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理解并掌握氮营养失衡的影响及其诊断方法。</w:t>
            </w:r>
          </w:p>
          <w:p>
            <w:pPr>
              <w:widowControl/>
              <w:numPr>
                <w:ilvl w:val="0"/>
                <w:numId w:val="8"/>
              </w:numPr>
              <w:ind w:left="709"/>
              <w:jc w:val="left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理解并掌握土壤中氮的含量、形态</w:t>
            </w:r>
          </w:p>
          <w:p>
            <w:pPr>
              <w:widowControl/>
              <w:numPr>
                <w:ilvl w:val="0"/>
                <w:numId w:val="8"/>
              </w:numPr>
              <w:ind w:left="709"/>
              <w:jc w:val="left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理解并掌握氮肥的种类、特性、在土壤中的转化</w:t>
            </w:r>
          </w:p>
          <w:p>
            <w:pPr>
              <w:widowControl/>
              <w:numPr>
                <w:ilvl w:val="0"/>
                <w:numId w:val="8"/>
              </w:numPr>
              <w:ind w:left="709"/>
              <w:jc w:val="left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理解并掌握氮肥对植物生长、产量、品质与环境的影响</w:t>
            </w:r>
          </w:p>
          <w:p>
            <w:pPr>
              <w:widowControl/>
              <w:numPr>
                <w:ilvl w:val="0"/>
                <w:numId w:val="8"/>
              </w:numPr>
              <w:ind w:left="709" w:hanging="425"/>
              <w:jc w:val="left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熟练掌握氮肥利用率的概念、相关计算及其提高途径以及氮肥合理施用技术。</w:t>
            </w:r>
          </w:p>
          <w:p>
            <w:pPr>
              <w:widowControl/>
              <w:jc w:val="left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</w:p>
          <w:p>
            <w:pPr>
              <w:widowControl/>
              <w:jc w:val="left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9. 植物磷营养与磷肥</w:t>
            </w:r>
          </w:p>
          <w:p>
            <w:pPr>
              <w:widowControl/>
              <w:numPr>
                <w:ilvl w:val="0"/>
                <w:numId w:val="9"/>
              </w:numPr>
              <w:ind w:left="709"/>
              <w:jc w:val="left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理解并掌握植物体内磷的含量与分布、营养功能、吸收运输及利用。</w:t>
            </w:r>
          </w:p>
          <w:p>
            <w:pPr>
              <w:widowControl/>
              <w:numPr>
                <w:ilvl w:val="0"/>
                <w:numId w:val="9"/>
              </w:numPr>
              <w:ind w:left="709"/>
              <w:jc w:val="left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理解并掌握磷营养失衡的影响及其诊断方法。</w:t>
            </w:r>
          </w:p>
          <w:p>
            <w:pPr>
              <w:widowControl/>
              <w:numPr>
                <w:ilvl w:val="0"/>
                <w:numId w:val="9"/>
              </w:numPr>
              <w:ind w:left="709"/>
              <w:jc w:val="left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了解土壤中磷的含量、分布</w:t>
            </w:r>
          </w:p>
          <w:p>
            <w:pPr>
              <w:widowControl/>
              <w:numPr>
                <w:ilvl w:val="0"/>
                <w:numId w:val="9"/>
              </w:numPr>
              <w:ind w:left="709"/>
              <w:jc w:val="left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掌握磷肥的种类、性质、在土壤中的转化</w:t>
            </w:r>
          </w:p>
          <w:p>
            <w:pPr>
              <w:widowControl/>
              <w:numPr>
                <w:ilvl w:val="0"/>
                <w:numId w:val="9"/>
              </w:numPr>
              <w:ind w:left="709"/>
              <w:jc w:val="left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理解并掌握磷肥对植物生长、产量、品质与环境的影响</w:t>
            </w:r>
          </w:p>
          <w:p>
            <w:pPr>
              <w:numPr>
                <w:ilvl w:val="0"/>
                <w:numId w:val="9"/>
              </w:numPr>
              <w:ind w:left="709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了解磷肥的残效和积累利用率，熟练掌握磷肥合理施用技术。</w:t>
            </w:r>
          </w:p>
          <w:p>
            <w:pPr>
              <w:widowControl/>
              <w:jc w:val="left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</w:p>
          <w:p>
            <w:pPr>
              <w:widowControl/>
              <w:jc w:val="left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10.</w:t>
            </w:r>
            <w:r>
              <w:rPr>
                <w:rFonts w:hint="eastAsia" w:ascii="Times New Roman" w:hAnsi="Times New Roman" w:eastAsia="宋体" w:cs="Times New Roman"/>
                <w:szCs w:val="24"/>
              </w:rPr>
              <w:t xml:space="preserve"> </w:t>
            </w: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植物钾营养与钾肥</w:t>
            </w:r>
          </w:p>
          <w:p>
            <w:pPr>
              <w:widowControl/>
              <w:numPr>
                <w:ilvl w:val="0"/>
                <w:numId w:val="10"/>
              </w:numPr>
              <w:ind w:left="709"/>
              <w:jc w:val="left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理解并掌握植物体内钾的含量与分布、营养功能、吸收运输及利用。</w:t>
            </w:r>
          </w:p>
          <w:p>
            <w:pPr>
              <w:widowControl/>
              <w:numPr>
                <w:ilvl w:val="0"/>
                <w:numId w:val="10"/>
              </w:numPr>
              <w:ind w:left="709"/>
              <w:jc w:val="left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理解并掌握钾营养失衡的影响及其诊断方法。</w:t>
            </w:r>
          </w:p>
          <w:p>
            <w:pPr>
              <w:widowControl/>
              <w:numPr>
                <w:ilvl w:val="0"/>
                <w:numId w:val="10"/>
              </w:numPr>
              <w:ind w:left="709"/>
              <w:jc w:val="left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了解土壤中磷的含量、分布。</w:t>
            </w:r>
          </w:p>
          <w:p>
            <w:pPr>
              <w:widowControl/>
              <w:numPr>
                <w:ilvl w:val="0"/>
                <w:numId w:val="10"/>
              </w:numPr>
              <w:ind w:left="709"/>
              <w:jc w:val="left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掌握钾肥的种类、特性及其在土壤中的转化。</w:t>
            </w:r>
          </w:p>
          <w:p>
            <w:pPr>
              <w:widowControl/>
              <w:numPr>
                <w:ilvl w:val="0"/>
                <w:numId w:val="10"/>
              </w:numPr>
              <w:ind w:left="709"/>
              <w:jc w:val="left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理解并掌握钾肥对植物生长、产量、品质与环境的影响。</w:t>
            </w:r>
          </w:p>
          <w:p>
            <w:pPr>
              <w:widowControl/>
              <w:numPr>
                <w:ilvl w:val="0"/>
                <w:numId w:val="10"/>
              </w:numPr>
              <w:ind w:left="709"/>
              <w:jc w:val="left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熟练掌握钾肥合理施用技术。</w:t>
            </w:r>
          </w:p>
          <w:p>
            <w:pPr>
              <w:widowControl/>
              <w:jc w:val="left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</w:p>
          <w:p>
            <w:pPr>
              <w:widowControl/>
              <w:jc w:val="left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11.</w:t>
            </w:r>
            <w:r>
              <w:rPr>
                <w:rFonts w:hint="eastAsia" w:ascii="Times New Roman" w:hAnsi="Times New Roman" w:eastAsia="宋体" w:cs="Times New Roman"/>
                <w:szCs w:val="24"/>
              </w:rPr>
              <w:t xml:space="preserve"> </w:t>
            </w: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植物的钙镁硫硅营养与钙镁硫硅肥</w:t>
            </w:r>
          </w:p>
          <w:p>
            <w:pPr>
              <w:widowControl/>
              <w:numPr>
                <w:ilvl w:val="0"/>
                <w:numId w:val="11"/>
              </w:numPr>
              <w:ind w:left="851"/>
              <w:jc w:val="left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了解植物体内钙、镁、硫、硅的含量、分布与营养功能。</w:t>
            </w:r>
          </w:p>
          <w:p>
            <w:pPr>
              <w:numPr>
                <w:ilvl w:val="0"/>
                <w:numId w:val="11"/>
              </w:numPr>
              <w:ind w:left="851" w:hanging="426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理解并掌握钙、镁、硫、硅营养失衡的影响及其诊断方法。</w:t>
            </w:r>
          </w:p>
          <w:p>
            <w:pPr>
              <w:widowControl/>
              <w:numPr>
                <w:ilvl w:val="0"/>
                <w:numId w:val="11"/>
              </w:numPr>
              <w:ind w:left="851"/>
              <w:jc w:val="left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掌握钙、镁、硫、硅肥的种类、特性、在土壤中的转化。</w:t>
            </w:r>
          </w:p>
          <w:p>
            <w:pPr>
              <w:widowControl/>
              <w:numPr>
                <w:ilvl w:val="0"/>
                <w:numId w:val="11"/>
              </w:numPr>
              <w:ind w:left="851"/>
              <w:jc w:val="left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掌握钙、镁、硫、硅肥对植物生长、产量、品质与环境的影响，掌握其合理施用技术。</w:t>
            </w:r>
          </w:p>
          <w:p>
            <w:pPr>
              <w:widowControl/>
              <w:jc w:val="left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</w:p>
          <w:p>
            <w:pPr>
              <w:widowControl/>
              <w:jc w:val="left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12.</w:t>
            </w:r>
            <w:r>
              <w:rPr>
                <w:rFonts w:ascii="仿宋" w:hAnsi="仿宋" w:eastAsia="仿宋" w:cs="宋体"/>
                <w:kern w:val="0"/>
                <w:sz w:val="24"/>
                <w:szCs w:val="24"/>
              </w:rPr>
              <w:t xml:space="preserve"> </w:t>
            </w: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植物的微量元素营养与微肥</w:t>
            </w:r>
          </w:p>
          <w:p>
            <w:pPr>
              <w:widowControl/>
              <w:numPr>
                <w:ilvl w:val="0"/>
                <w:numId w:val="12"/>
              </w:numPr>
              <w:ind w:left="851"/>
              <w:jc w:val="left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了解植物体内微量元素的含量、分布与营养功能。</w:t>
            </w:r>
          </w:p>
          <w:p>
            <w:pPr>
              <w:numPr>
                <w:ilvl w:val="0"/>
                <w:numId w:val="12"/>
              </w:numPr>
              <w:ind w:left="851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理解并掌握微量元素营养失衡的影响及其诊断方法。</w:t>
            </w:r>
          </w:p>
          <w:p>
            <w:pPr>
              <w:widowControl/>
              <w:numPr>
                <w:ilvl w:val="0"/>
                <w:numId w:val="12"/>
              </w:numPr>
              <w:ind w:left="851"/>
              <w:jc w:val="left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了解微肥的种类、特性、在土壤中的转化。</w:t>
            </w:r>
          </w:p>
          <w:p>
            <w:pPr>
              <w:widowControl/>
              <w:numPr>
                <w:ilvl w:val="0"/>
                <w:numId w:val="12"/>
              </w:numPr>
              <w:ind w:left="851"/>
              <w:jc w:val="left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认识微肥对植物生长、产量、品质与环境的影响，掌握其合理施用技术。</w:t>
            </w:r>
          </w:p>
          <w:p>
            <w:pPr>
              <w:widowControl/>
              <w:jc w:val="left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</w:p>
          <w:p>
            <w:pPr>
              <w:widowControl/>
              <w:jc w:val="left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13.复混肥料</w:t>
            </w:r>
          </w:p>
          <w:p>
            <w:pPr>
              <w:widowControl/>
              <w:numPr>
                <w:ilvl w:val="0"/>
                <w:numId w:val="13"/>
              </w:numPr>
              <w:ind w:left="851"/>
              <w:jc w:val="left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理解并掌握复合肥料和混合肥料的概念、特性及其标示。</w:t>
            </w:r>
          </w:p>
          <w:p>
            <w:pPr>
              <w:widowControl/>
              <w:numPr>
                <w:ilvl w:val="0"/>
                <w:numId w:val="13"/>
              </w:numPr>
              <w:ind w:left="851"/>
              <w:jc w:val="left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掌握复合肥料和混合肥料的发展动向。</w:t>
            </w:r>
          </w:p>
          <w:p>
            <w:pPr>
              <w:widowControl/>
              <w:numPr>
                <w:ilvl w:val="0"/>
                <w:numId w:val="13"/>
              </w:numPr>
              <w:ind w:left="851"/>
              <w:jc w:val="left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掌握复混肥料合理施用技术。</w:t>
            </w:r>
          </w:p>
          <w:p>
            <w:pPr>
              <w:widowControl/>
              <w:jc w:val="left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</w:p>
          <w:p>
            <w:pPr>
              <w:widowControl/>
              <w:jc w:val="left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14.有机肥料</w:t>
            </w:r>
          </w:p>
          <w:p>
            <w:pPr>
              <w:widowControl/>
              <w:numPr>
                <w:ilvl w:val="0"/>
                <w:numId w:val="14"/>
              </w:numPr>
              <w:ind w:left="851"/>
              <w:jc w:val="left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了解有机肥料在农业生产中的作用与地位、有机肥料的分类与特性。</w:t>
            </w:r>
          </w:p>
          <w:p>
            <w:pPr>
              <w:widowControl/>
              <w:numPr>
                <w:ilvl w:val="0"/>
                <w:numId w:val="14"/>
              </w:numPr>
              <w:ind w:left="851"/>
              <w:jc w:val="left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了解人粪尿、畜禽粪尿、厩肥的成分和性质以及在积制过程中的一些生物、物理、化学变化和相应采取的措施，厩肥的肥效。</w:t>
            </w:r>
          </w:p>
          <w:p>
            <w:pPr>
              <w:widowControl/>
              <w:numPr>
                <w:ilvl w:val="0"/>
                <w:numId w:val="14"/>
              </w:numPr>
              <w:ind w:left="851"/>
              <w:jc w:val="left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掌握堆肥的堆制原理及影响腐熟的因素，堆肥的肥效。</w:t>
            </w:r>
          </w:p>
          <w:p>
            <w:pPr>
              <w:widowControl/>
              <w:numPr>
                <w:ilvl w:val="0"/>
                <w:numId w:val="14"/>
              </w:numPr>
              <w:ind w:left="851"/>
              <w:jc w:val="left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了解作物秸杆还田的作用、原理和技术。</w:t>
            </w:r>
          </w:p>
          <w:p>
            <w:pPr>
              <w:widowControl/>
              <w:numPr>
                <w:ilvl w:val="0"/>
                <w:numId w:val="14"/>
              </w:numPr>
              <w:ind w:left="851"/>
              <w:jc w:val="left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了解绿肥、腐殖酸肥、饼肥、沼气池肥等有机肥料的性质及施用技术。</w:t>
            </w:r>
          </w:p>
          <w:p>
            <w:pPr>
              <w:widowControl/>
              <w:numPr>
                <w:ilvl w:val="0"/>
                <w:numId w:val="14"/>
              </w:numPr>
              <w:ind w:left="851"/>
              <w:jc w:val="left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掌握有机肥料的合理施用技术。</w:t>
            </w:r>
          </w:p>
          <w:p>
            <w:pPr>
              <w:widowControl/>
              <w:jc w:val="left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</w:p>
          <w:p>
            <w:pPr>
              <w:widowControl/>
              <w:jc w:val="left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15.科学施肥理论与技术</w:t>
            </w:r>
          </w:p>
          <w:p>
            <w:pPr>
              <w:widowControl/>
              <w:numPr>
                <w:ilvl w:val="0"/>
                <w:numId w:val="15"/>
              </w:numPr>
              <w:ind w:left="851"/>
              <w:jc w:val="left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了解合理施肥的原则和作物施肥的原理。</w:t>
            </w:r>
          </w:p>
          <w:p>
            <w:pPr>
              <w:widowControl/>
              <w:numPr>
                <w:ilvl w:val="0"/>
                <w:numId w:val="15"/>
              </w:numPr>
              <w:ind w:left="851"/>
              <w:jc w:val="left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认识施肥与农业生态及农产品安全的关系。</w:t>
            </w:r>
          </w:p>
          <w:p>
            <w:pPr>
              <w:widowControl/>
              <w:numPr>
                <w:ilvl w:val="0"/>
                <w:numId w:val="15"/>
              </w:numPr>
              <w:ind w:left="851"/>
              <w:jc w:val="left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了解肥料效应函数施肥技术和营养诊断施肥技术。</w:t>
            </w:r>
          </w:p>
          <w:p>
            <w:pPr>
              <w:widowControl/>
              <w:numPr>
                <w:ilvl w:val="0"/>
                <w:numId w:val="15"/>
              </w:numPr>
              <w:ind w:left="851"/>
              <w:jc w:val="left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掌握养分平衡施肥技术和测土配方施肥技术。</w:t>
            </w:r>
          </w:p>
          <w:p>
            <w:pPr>
              <w:widowControl/>
              <w:jc w:val="left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</w:p>
          <w:p>
            <w:pPr>
              <w:widowControl/>
              <w:jc w:val="left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　　</w:t>
            </w:r>
          </w:p>
          <w:p>
            <w:pPr>
              <w:widowControl/>
              <w:jc w:val="left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</w:p>
        </w:tc>
      </w:tr>
    </w:tbl>
    <w:p>
      <w:pPr>
        <w:rPr>
          <w:rFonts w:ascii="仿宋" w:hAnsi="仿宋" w:eastAsia="仿宋" w:cs="Times New Roman"/>
          <w:sz w:val="24"/>
          <w:szCs w:val="24"/>
        </w:rPr>
      </w:pPr>
    </w:p>
    <w:p>
      <w:pPr>
        <w:rPr>
          <w:rFonts w:ascii="仿宋" w:hAnsi="仿宋" w:eastAsia="仿宋" w:cs="Times New Roman"/>
          <w:sz w:val="24"/>
          <w:szCs w:val="24"/>
        </w:rPr>
      </w:pPr>
    </w:p>
    <w:p>
      <w:pPr>
        <w:rPr>
          <w:rFonts w:ascii="仿宋" w:hAnsi="仿宋" w:eastAsia="仿宋" w:cs="Times New Roman"/>
          <w:sz w:val="24"/>
          <w:szCs w:val="24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A0204"/>
    <w:charset w:val="00"/>
    <w:family w:val="roman"/>
    <w:pitch w:val="default"/>
    <w:sig w:usb0="E00002FF" w:usb1="4000045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305AB2"/>
    <w:multiLevelType w:val="multilevel"/>
    <w:tmpl w:val="0F305AB2"/>
    <w:lvl w:ilvl="0" w:tentative="0">
      <w:start w:val="1"/>
      <w:numFmt w:val="decimal"/>
      <w:lvlText w:val="(%1)"/>
      <w:lvlJc w:val="left"/>
      <w:pPr>
        <w:ind w:left="42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0FB119E6"/>
    <w:multiLevelType w:val="multilevel"/>
    <w:tmpl w:val="0FB119E6"/>
    <w:lvl w:ilvl="0" w:tentative="0">
      <w:start w:val="1"/>
      <w:numFmt w:val="decimal"/>
      <w:lvlText w:val="(%1)"/>
      <w:lvlJc w:val="left"/>
      <w:pPr>
        <w:ind w:left="42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13D208C5"/>
    <w:multiLevelType w:val="multilevel"/>
    <w:tmpl w:val="13D208C5"/>
    <w:lvl w:ilvl="0" w:tentative="0">
      <w:start w:val="1"/>
      <w:numFmt w:val="decimal"/>
      <w:lvlText w:val="(%1)"/>
      <w:lvlJc w:val="left"/>
      <w:pPr>
        <w:ind w:left="42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1A183DB0"/>
    <w:multiLevelType w:val="multilevel"/>
    <w:tmpl w:val="1A183DB0"/>
    <w:lvl w:ilvl="0" w:tentative="0">
      <w:start w:val="1"/>
      <w:numFmt w:val="decimal"/>
      <w:lvlText w:val="(%1)"/>
      <w:lvlJc w:val="left"/>
      <w:pPr>
        <w:ind w:left="42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26303143"/>
    <w:multiLevelType w:val="multilevel"/>
    <w:tmpl w:val="26303143"/>
    <w:lvl w:ilvl="0" w:tentative="0">
      <w:start w:val="1"/>
      <w:numFmt w:val="decimal"/>
      <w:lvlText w:val="(%1)"/>
      <w:lvlJc w:val="left"/>
      <w:pPr>
        <w:ind w:left="42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2A6648F1"/>
    <w:multiLevelType w:val="multilevel"/>
    <w:tmpl w:val="2A6648F1"/>
    <w:lvl w:ilvl="0" w:tentative="0">
      <w:start w:val="1"/>
      <w:numFmt w:val="decimal"/>
      <w:lvlText w:val="(%1)"/>
      <w:lvlJc w:val="left"/>
      <w:pPr>
        <w:ind w:left="42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38097EF7"/>
    <w:multiLevelType w:val="multilevel"/>
    <w:tmpl w:val="38097EF7"/>
    <w:lvl w:ilvl="0" w:tentative="0">
      <w:start w:val="1"/>
      <w:numFmt w:val="decimal"/>
      <w:lvlText w:val="(%1)"/>
      <w:lvlJc w:val="left"/>
      <w:pPr>
        <w:ind w:left="42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420D3527"/>
    <w:multiLevelType w:val="multilevel"/>
    <w:tmpl w:val="420D3527"/>
    <w:lvl w:ilvl="0" w:tentative="0">
      <w:start w:val="1"/>
      <w:numFmt w:val="decimal"/>
      <w:lvlText w:val="(%1)"/>
      <w:lvlJc w:val="left"/>
      <w:pPr>
        <w:ind w:left="42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461C5B15"/>
    <w:multiLevelType w:val="multilevel"/>
    <w:tmpl w:val="461C5B15"/>
    <w:lvl w:ilvl="0" w:tentative="0">
      <w:start w:val="1"/>
      <w:numFmt w:val="decimal"/>
      <w:lvlText w:val="(%1)"/>
      <w:lvlJc w:val="left"/>
      <w:pPr>
        <w:ind w:left="42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4AFF5D1B"/>
    <w:multiLevelType w:val="multilevel"/>
    <w:tmpl w:val="4AFF5D1B"/>
    <w:lvl w:ilvl="0" w:tentative="0">
      <w:start w:val="1"/>
      <w:numFmt w:val="decimal"/>
      <w:lvlText w:val="(%1)"/>
      <w:lvlJc w:val="left"/>
      <w:pPr>
        <w:ind w:left="42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55031ABB"/>
    <w:multiLevelType w:val="multilevel"/>
    <w:tmpl w:val="55031ABB"/>
    <w:lvl w:ilvl="0" w:tentative="0">
      <w:start w:val="1"/>
      <w:numFmt w:val="decimal"/>
      <w:lvlText w:val="(%1)"/>
      <w:lvlJc w:val="left"/>
      <w:pPr>
        <w:ind w:left="42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6469589B"/>
    <w:multiLevelType w:val="multilevel"/>
    <w:tmpl w:val="6469589B"/>
    <w:lvl w:ilvl="0" w:tentative="0">
      <w:start w:val="1"/>
      <w:numFmt w:val="decimal"/>
      <w:lvlText w:val="(%1)"/>
      <w:lvlJc w:val="left"/>
      <w:pPr>
        <w:ind w:left="42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74AC4275"/>
    <w:multiLevelType w:val="multilevel"/>
    <w:tmpl w:val="74AC4275"/>
    <w:lvl w:ilvl="0" w:tentative="0">
      <w:start w:val="1"/>
      <w:numFmt w:val="decimal"/>
      <w:lvlText w:val="(%1)"/>
      <w:lvlJc w:val="left"/>
      <w:pPr>
        <w:ind w:left="42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757B4157"/>
    <w:multiLevelType w:val="multilevel"/>
    <w:tmpl w:val="757B4157"/>
    <w:lvl w:ilvl="0" w:tentative="0">
      <w:start w:val="1"/>
      <w:numFmt w:val="decimal"/>
      <w:lvlText w:val="(%1)"/>
      <w:lvlJc w:val="left"/>
      <w:pPr>
        <w:ind w:left="42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780A6C91"/>
    <w:multiLevelType w:val="multilevel"/>
    <w:tmpl w:val="780A6C91"/>
    <w:lvl w:ilvl="0" w:tentative="0">
      <w:start w:val="1"/>
      <w:numFmt w:val="decimal"/>
      <w:lvlText w:val="(%1)"/>
      <w:lvlJc w:val="left"/>
      <w:pPr>
        <w:ind w:left="42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4"/>
  </w:num>
  <w:num w:numId="2">
    <w:abstractNumId w:val="1"/>
  </w:num>
  <w:num w:numId="3">
    <w:abstractNumId w:val="4"/>
  </w:num>
  <w:num w:numId="4">
    <w:abstractNumId w:val="3"/>
  </w:num>
  <w:num w:numId="5">
    <w:abstractNumId w:val="9"/>
  </w:num>
  <w:num w:numId="6">
    <w:abstractNumId w:val="10"/>
  </w:num>
  <w:num w:numId="7">
    <w:abstractNumId w:val="8"/>
  </w:num>
  <w:num w:numId="8">
    <w:abstractNumId w:val="5"/>
  </w:num>
  <w:num w:numId="9">
    <w:abstractNumId w:val="2"/>
  </w:num>
  <w:num w:numId="10">
    <w:abstractNumId w:val="6"/>
  </w:num>
  <w:num w:numId="11">
    <w:abstractNumId w:val="12"/>
  </w:num>
  <w:num w:numId="12">
    <w:abstractNumId w:val="7"/>
  </w:num>
  <w:num w:numId="13">
    <w:abstractNumId w:val="11"/>
  </w:num>
  <w:num w:numId="14">
    <w:abstractNumId w:val="0"/>
  </w:num>
  <w:num w:numId="1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077B"/>
    <w:rsid w:val="002C09F1"/>
    <w:rsid w:val="00D1077B"/>
    <w:rsid w:val="434831FB"/>
    <w:rsid w:val="49A875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2">
    <w:name w:val="Default Paragraph Font"/>
    <w:unhideWhenUsed/>
    <w:uiPriority w:val="1"/>
  </w:style>
  <w:style w:type="table" w:default="1" w:styleId="3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3</Pages>
  <Words>312</Words>
  <Characters>1781</Characters>
  <Lines>14</Lines>
  <Paragraphs>4</Paragraphs>
  <ScaleCrop>false</ScaleCrop>
  <LinksUpToDate>false</LinksUpToDate>
  <CharactersWithSpaces>2089</CharactersWithSpaces>
  <Application>WPS Office_10.1.0.6876_F1E327BC-269C-435d-A152-05C5408002CA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2017-10-16T09:06:00Z</dcterms:created>
  <dc:creator>xbany</dc:creator>
  <cp:lastModifiedBy>Administrator</cp:lastModifiedBy>
  <dcterms:modified xsi:type="dcterms:W3CDTF">2017-10-19T07:16:18Z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2052-10.1.0.6876</vt:lpwstr>
  </property>
</Properties>
</file>